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A0" w:rsidRDefault="005560A0" w:rsidP="005560A0">
      <w:pPr>
        <w:spacing w:after="0" w:line="240" w:lineRule="auto"/>
        <w:rPr>
          <w:rFonts w:ascii="Trebuchet MS" w:eastAsia="Times New Roman" w:hAnsi="Trebuchet MS" w:cs="Times New Roman"/>
          <w:color w:val="DA0606"/>
          <w:lang w:eastAsia="ru-RU"/>
        </w:rPr>
      </w:pPr>
      <w:bookmarkStart w:id="0" w:name="_GoBack"/>
      <w:bookmarkEnd w:id="0"/>
    </w:p>
    <w:p w:rsidR="005560A0" w:rsidRPr="005560A0" w:rsidRDefault="005560A0" w:rsidP="005560A0">
      <w:pPr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5560A0">
        <w:rPr>
          <w:rFonts w:ascii="Trebuchet MS" w:eastAsia="Times New Roman" w:hAnsi="Trebuchet MS" w:cs="Times New Roman"/>
          <w:color w:val="DA0606"/>
          <w:lang w:eastAsia="ru-RU"/>
        </w:rPr>
        <w:t>30 января 2012</w:t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</w:t>
      </w:r>
    </w:p>
    <w:p w:rsidR="005560A0" w:rsidRPr="005560A0" w:rsidRDefault="005560A0" w:rsidP="005560A0">
      <w:pPr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    Проблемы разработки профессионального стандарта главных архитекторов и главных инженеров проектов (</w:t>
      </w:r>
      <w:proofErr w:type="spellStart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ГАПов</w:t>
      </w:r>
      <w:proofErr w:type="spell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и </w:t>
      </w:r>
      <w:proofErr w:type="spellStart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ГИПов</w:t>
      </w:r>
      <w:proofErr w:type="spell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) были в центре внимания участников развернутой дискуссии, которая прошла 26 января в формате «круглого стола». </w:t>
      </w:r>
    </w:p>
    <w:p w:rsidR="005560A0" w:rsidRPr="005560A0" w:rsidRDefault="005560A0" w:rsidP="005560A0">
      <w:pPr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     Заседание состоялось в </w:t>
      </w:r>
      <w:proofErr w:type="gramStart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Конгресс-центре</w:t>
      </w:r>
      <w:proofErr w:type="gram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Центрального  выставочного комплекса «Экспоцентр» на Красной Пресне в рамках тематической секции «Взаимодействие изыскателей и проектировщиков в проектной и законотворческой работе, инновации в строительстве и проектировании» во второй день работы III Национальная Ассамблея «Стройиндустрия регионов России. Инновации в строительстве — 2012» в рамках 13-й специализированной выставки "Отечественные Строительные Материалы". </w:t>
      </w:r>
    </w:p>
    <w:p w:rsidR="005560A0" w:rsidRPr="00DC5890" w:rsidRDefault="005560A0" w:rsidP="005560A0">
      <w:pPr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5560A0">
        <w:rPr>
          <w:rFonts w:ascii="Trebuchet MS" w:eastAsia="Times New Roman" w:hAnsi="Trebuchet MS" w:cs="Times New Roman"/>
          <w:noProof/>
          <w:color w:val="000000"/>
          <w:sz w:val="19"/>
          <w:szCs w:val="19"/>
          <w:lang w:eastAsia="ru-RU"/>
        </w:rPr>
        <w:lastRenderedPageBreak/>
        <w:drawing>
          <wp:anchor distT="47625" distB="47625" distL="95250" distR="95250" simplePos="0" relativeHeight="251659264" behindDoc="0" locked="0" layoutInCell="1" allowOverlap="0" wp14:anchorId="7D6017C8" wp14:editId="6A7D5C5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752725"/>
            <wp:effectExtent l="0" t="0" r="0" b="9525"/>
            <wp:wrapSquare wrapText="bothSides"/>
            <wp:docPr id="1" name="Рисунок 1" descr="20120126_02_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20126_02_4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Организаторами обсуждения стали: Союз проектировщиков России (СПР), АСИ </w:t>
      </w:r>
      <w:proofErr w:type="spellStart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Росстройизыскания</w:t>
      </w:r>
      <w:proofErr w:type="spell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, АСКОМ. </w:t>
      </w:r>
      <w:proofErr w:type="spellStart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Модерировал</w:t>
      </w:r>
      <w:proofErr w:type="spell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заседание за «круглым столом» вице-президент Национального объединения проектировщиков, президент СПР, Заслуженный строитель России </w:t>
      </w:r>
      <w:r w:rsidRPr="005560A0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ru-RU"/>
        </w:rPr>
        <w:t>Виктор Новоселов.</w:t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</w:t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  <w:t xml:space="preserve">     В повестке дня «круглого стола» участники обсудили два основных вопроса: </w:t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  <w:t xml:space="preserve">     1. Проект профессионального стандарта «Архитектурно-строительное проектирование» (ГИП, ГАП) (от авт.: этот документ вывешен на сайте НОП), который регламентирует функции, ответственность, права и обязанности </w:t>
      </w:r>
      <w:proofErr w:type="spellStart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ГИПов</w:t>
      </w:r>
      <w:proofErr w:type="spell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и </w:t>
      </w:r>
      <w:proofErr w:type="spellStart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ГАПов</w:t>
      </w:r>
      <w:proofErr w:type="spell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, </w:t>
      </w:r>
      <w:proofErr w:type="gramStart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являющихся</w:t>
      </w:r>
      <w:proofErr w:type="gram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ключевыми фигурами в организации подготовки проектной документации для строительства. Документ требует значительной доработки с учетом полученных замечанием от членов Союза проектировщиков России и СРО НП “ПРОЕКТЦЕНТР”. </w:t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  <w:t xml:space="preserve">     2. Развитие негосударственной экспертизы в строительной отрасли. </w:t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  <w:t xml:space="preserve">     Заключительная часть  заседания была посвящена вопросам применения инновационных технологий в строительстве. </w:t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  <w:t xml:space="preserve">     </w:t>
      </w:r>
      <w:r w:rsidRPr="005560A0">
        <w:rPr>
          <w:rFonts w:ascii="Trebuchet MS" w:eastAsia="Times New Roman" w:hAnsi="Trebuchet MS" w:cs="Times New Roman"/>
          <w:noProof/>
          <w:color w:val="000000"/>
          <w:sz w:val="19"/>
          <w:szCs w:val="19"/>
          <w:lang w:eastAsia="ru-RU"/>
        </w:rPr>
        <w:drawing>
          <wp:anchor distT="47625" distB="47625" distL="95250" distR="95250" simplePos="0" relativeHeight="251660288" behindDoc="0" locked="0" layoutInCell="1" allowOverlap="0" wp14:anchorId="088B7F7A" wp14:editId="6AA61DB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905000"/>
            <wp:effectExtent l="0" t="0" r="0" b="0"/>
            <wp:wrapSquare wrapText="bothSides"/>
            <wp:docPr id="2" name="Рисунок 2" descr="20120126_06_3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20126_06_39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В рамках встречи за «круглым столом» собравшиеся обсудили вопросы, связанные с взаимодействием проектировщиков, изыскателей и архитекторов в проектной, архитектурной деятельности и в законотворческой работе; обсудили проблемы работы в условиях саморегулирования изыскателей и проектировщиков; обменялись опытом разработки современных мероприятий в области охраны труда при проектировании производственных объектов; всесторонне обсудили статус </w:t>
      </w:r>
      <w:proofErr w:type="spellStart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ГИПов</w:t>
      </w:r>
      <w:proofErr w:type="spell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и </w:t>
      </w:r>
      <w:proofErr w:type="spellStart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ГАПов</w:t>
      </w:r>
      <w:proofErr w:type="spell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.</w:t>
      </w:r>
      <w:proofErr w:type="gram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</w:t>
      </w:r>
      <w:proofErr w:type="gramStart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Кроме того, в рамках дискуссии участникам заседания были разъяснены вопросы негосударственной экспертизы в проектировании (с учетом изменений, вступающих в силу с 1-го апреля </w:t>
      </w:r>
      <w:proofErr w:type="spellStart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с.г</w:t>
      </w:r>
      <w:proofErr w:type="spell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.) </w:t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  <w:t xml:space="preserve">     Однако во время 4-часовой встречи за «круглым столом» собравшиеся в зале «Стеклянный купол»  основное внимание уделили различным аспектам разрабатываемого в Национальном объединении проектировщиков профессиональному стандарту </w:t>
      </w:r>
      <w:proofErr w:type="spellStart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ГАПов</w:t>
      </w:r>
      <w:proofErr w:type="spell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и </w:t>
      </w:r>
      <w:proofErr w:type="spellStart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ГИПов</w:t>
      </w:r>
      <w:proofErr w:type="spell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.</w:t>
      </w:r>
      <w:proofErr w:type="gram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</w:t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  <w:t xml:space="preserve">     Большой блок вопросов, связанных с разработкой данного </w:t>
      </w:r>
      <w:proofErr w:type="spellStart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профстандарта</w:t>
      </w:r>
      <w:proofErr w:type="spell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, был вынесен на рассмотрение в формате открытого диалога в рамках III Национальной Ассамблеи «Стройиндустрия регионов России. Инновации в строительстве — 2012». Этот факт, на наш взгляд, подчеркнул особую значимость рассматриваемой темы. В то же время сам по себе диалог позволил участникам встречи получить от компетентных специалистов конкретные ответы на вопросы, связанные с российской законодательной базой в области строительства, и о работе в условиях перехода строительной отрасли на саморегулирование. </w:t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  <w:t xml:space="preserve">     </w:t>
      </w:r>
      <w:r w:rsidRPr="005560A0">
        <w:rPr>
          <w:rFonts w:ascii="Trebuchet MS" w:eastAsia="Times New Roman" w:hAnsi="Trebuchet MS" w:cs="Times New Roman"/>
          <w:noProof/>
          <w:color w:val="000000"/>
          <w:sz w:val="19"/>
          <w:szCs w:val="19"/>
          <w:lang w:eastAsia="ru-RU"/>
        </w:rPr>
        <w:drawing>
          <wp:anchor distT="47625" distB="47625" distL="95250" distR="95250" simplePos="0" relativeHeight="251661312" behindDoc="0" locked="0" layoutInCell="1" allowOverlap="0" wp14:anchorId="01D00B99" wp14:editId="25598C9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695575"/>
            <wp:effectExtent l="0" t="0" r="0" b="9525"/>
            <wp:wrapSquare wrapText="bothSides"/>
            <wp:docPr id="3" name="Рисунок 3" descr="20120126_03_4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20126_03_4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Собравшимся основным был представлен доклад по вопросу разработки проекта профессионального стандарта «Архитектурно-строительное проектирование» и по некоторым позициям, которые </w:t>
      </w:r>
      <w:proofErr w:type="gramStart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вызвали </w:t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lastRenderedPageBreak/>
        <w:t>наибольшее внимание</w:t>
      </w:r>
      <w:proofErr w:type="gram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со стороны профессионального сообщества. Докладчиком выступил  член Комитета по науке, образованию и аттестации Национального объединения проектировщиков, первый проректор ГОУ ДПО «Государственная академия повышения квалификации и переподготовки кадров для строительства и жилищно-коммунального комплекса России» (представитель СРО НП «Объединение градостроительного планирования и проектирования») </w:t>
      </w:r>
      <w:r w:rsidRPr="005560A0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ru-RU"/>
        </w:rPr>
        <w:t>Александр Герасимов.</w:t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</w:t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  <w:t xml:space="preserve">     </w:t>
      </w:r>
      <w:proofErr w:type="gramStart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Выступающий разъяснил: цели и задачи </w:t>
      </w:r>
      <w:proofErr w:type="spellStart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профстандарта</w:t>
      </w:r>
      <w:proofErr w:type="spell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; его место в системе обеспечения воспроизводства архитектурно-строительной деятельности; особенности формирования этого документа, как переходной формы между триединым целым - документом технического регулирования, документом образовательного регулирования, документом регулирования на рынке труда; особенности, связанные со стилистической реализацией, т.к. каждая из трех перечисленных областей применения принесла свою текстовую профессиональную стилистику.</w:t>
      </w:r>
      <w:proofErr w:type="gram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</w:t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  <w:t xml:space="preserve">     Докладчик познакомил слушателей с основными новеллами, которые были внесены в представленный проект на стадии его разработки и состоявшихся ранее обсуждений, в том числе о внесении категорий, которые условно называются «главный инженер проекта» и «главный архитектор проекта» к двум разным уровням компетентности: более сложной – 7-й уровень и 6-й уровень. А. Герасимов раскрыл содержание и других новаций, которые появились в ходе работы над проектом. </w:t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  <w:t>     Во время обсуждения член Комитета по науке, образованию и аттестации Национального объединения проектировщиков, генеральный директор ОАО «</w:t>
      </w:r>
      <w:proofErr w:type="spellStart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ЦНИИпромзданий</w:t>
      </w:r>
      <w:proofErr w:type="spell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» </w:t>
      </w:r>
      <w:r w:rsidRPr="005560A0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ru-RU"/>
        </w:rPr>
        <w:t xml:space="preserve">Виктор </w:t>
      </w:r>
      <w:proofErr w:type="spellStart"/>
      <w:r w:rsidRPr="005560A0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ru-RU"/>
        </w:rPr>
        <w:t>Гранев</w:t>
      </w:r>
      <w:proofErr w:type="spell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поддержал деление на 6-й и 7-й уровни компетентности, а также отметил, что в доработке представленного проекта </w:t>
      </w:r>
      <w:proofErr w:type="spellStart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профстандарта</w:t>
      </w:r>
      <w:proofErr w:type="spell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нужно уделить больше внимания профессиональной стилистике. Докладчик принял это замечание, как подлежащее несомненному учету. </w:t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  <w:t xml:space="preserve">     Примерно такие же (в той или иной степени) позиции высказали и другие участники прений. </w:t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  <w:t xml:space="preserve">     </w:t>
      </w:r>
      <w:r w:rsidRPr="005560A0">
        <w:rPr>
          <w:rFonts w:ascii="Trebuchet MS" w:eastAsia="Times New Roman" w:hAnsi="Trebuchet MS" w:cs="Times New Roman"/>
          <w:noProof/>
          <w:color w:val="000000"/>
          <w:sz w:val="19"/>
          <w:szCs w:val="19"/>
          <w:lang w:eastAsia="ru-RU"/>
        </w:rPr>
        <w:drawing>
          <wp:anchor distT="47625" distB="47625" distL="95250" distR="95250" simplePos="0" relativeHeight="251662336" behindDoc="0" locked="0" layoutInCell="1" allowOverlap="0" wp14:anchorId="7772D2BF" wp14:editId="0B0BD71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590800"/>
            <wp:effectExtent l="0" t="0" r="0" b="0"/>
            <wp:wrapSquare wrapText="bothSides"/>
            <wp:docPr id="4" name="Рисунок 4" descr="20120126_05_3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120126_05_39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Однако председатель Комитета по методологии регулирования проектной деятельности НОП </w:t>
      </w:r>
      <w:r w:rsidRPr="005560A0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ru-RU"/>
        </w:rPr>
        <w:t xml:space="preserve">Сергей </w:t>
      </w:r>
      <w:proofErr w:type="spellStart"/>
      <w:r w:rsidRPr="005560A0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ru-RU"/>
        </w:rPr>
        <w:t>Ильяев</w:t>
      </w:r>
      <w:proofErr w:type="spell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обратил внимание на вопрос 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обязательности </w:t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применения этого </w:t>
      </w:r>
      <w:proofErr w:type="spellStart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профстандарта</w:t>
      </w:r>
      <w:proofErr w:type="spellEnd"/>
      <w:r w:rsidR="00DC589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и рекомендовал придать ему статус добровольно применяемых рекомендаций в проектных организациях при проведении аттестации специалистов</w:t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. </w:t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  <w:t>   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Кроме того по мнению С. </w:t>
      </w:r>
      <w:proofErr w:type="spellStart"/>
      <w:r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Ильяева</w:t>
      </w:r>
      <w:proofErr w:type="spellEnd"/>
      <w:r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в проекте документа имеется положение</w:t>
      </w:r>
      <w:r w:rsidR="00DC5890" w:rsidRPr="00DC589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</w:t>
      </w:r>
      <w:r w:rsidR="00DC589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о том, что ГИП ы и </w:t>
      </w:r>
      <w:proofErr w:type="spellStart"/>
      <w:r w:rsidR="00DC589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ГАПы</w:t>
      </w:r>
      <w:proofErr w:type="spellEnd"/>
      <w:r w:rsidR="00DC589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должны иметь сертификаты, выдаваемые некими «уполномоченными органами» и по всей видимости на платной основе. С этим, по мнению </w:t>
      </w:r>
      <w:r w:rsidR="00DC5890" w:rsidRPr="00DC5890">
        <w:rPr>
          <w:rFonts w:ascii="Trebuchet MS" w:eastAsia="Times New Roman" w:hAnsi="Trebuchet MS" w:cs="Times New Roman"/>
          <w:b/>
          <w:color w:val="000000"/>
          <w:sz w:val="19"/>
          <w:szCs w:val="19"/>
          <w:lang w:eastAsia="ru-RU"/>
        </w:rPr>
        <w:t xml:space="preserve">С. </w:t>
      </w:r>
      <w:proofErr w:type="spellStart"/>
      <w:r w:rsidR="00DC5890" w:rsidRPr="00DC5890">
        <w:rPr>
          <w:rFonts w:ascii="Trebuchet MS" w:eastAsia="Times New Roman" w:hAnsi="Trebuchet MS" w:cs="Times New Roman"/>
          <w:b/>
          <w:color w:val="000000"/>
          <w:sz w:val="19"/>
          <w:szCs w:val="19"/>
          <w:lang w:eastAsia="ru-RU"/>
        </w:rPr>
        <w:t>Ильяева</w:t>
      </w:r>
      <w:proofErr w:type="spellEnd"/>
      <w:r w:rsidR="00DC589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нельзя согласиться.</w:t>
      </w:r>
      <w:r w:rsidR="00DC5890" w:rsidRPr="00DC589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</w:t>
      </w:r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  </w:t>
      </w:r>
      <w:r w:rsidR="00DC589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В связи с этим </w:t>
      </w:r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</w:t>
      </w:r>
      <w:r w:rsidR="00DC5890" w:rsidRPr="005560A0">
        <w:rPr>
          <w:rFonts w:ascii="Trebuchet MS" w:eastAsia="Times New Roman" w:hAnsi="Trebuchet MS" w:cs="Times New Roman"/>
          <w:b/>
          <w:color w:val="000000"/>
          <w:sz w:val="19"/>
          <w:szCs w:val="19"/>
          <w:lang w:eastAsia="ru-RU"/>
        </w:rPr>
        <w:t xml:space="preserve">С. </w:t>
      </w:r>
      <w:proofErr w:type="spellStart"/>
      <w:r w:rsidR="00DC5890" w:rsidRPr="005560A0">
        <w:rPr>
          <w:rFonts w:ascii="Trebuchet MS" w:eastAsia="Times New Roman" w:hAnsi="Trebuchet MS" w:cs="Times New Roman"/>
          <w:b/>
          <w:color w:val="000000"/>
          <w:sz w:val="19"/>
          <w:szCs w:val="19"/>
          <w:lang w:eastAsia="ru-RU"/>
        </w:rPr>
        <w:t>Ильяев</w:t>
      </w:r>
      <w:proofErr w:type="spellEnd"/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остановился на «истории вопроса» и  напомнил, что вопросы о регулировании деятельности </w:t>
      </w:r>
      <w:proofErr w:type="spellStart"/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ГАПов</w:t>
      </w:r>
      <w:proofErr w:type="spellEnd"/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ГИПов</w:t>
      </w:r>
      <w:proofErr w:type="spellEnd"/>
      <w:r w:rsidR="00DC5890" w:rsidRPr="00DC589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</w:t>
      </w:r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как ключевых фигур в проектировании, </w:t>
      </w:r>
      <w:r w:rsidR="00DC589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их «аттестации или сертификации</w:t>
      </w:r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, стоит достаточно давно. Еще в марте 2011 года обсуждался законопроект о внесении изменений в </w:t>
      </w:r>
      <w:proofErr w:type="spellStart"/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Градкодекс</w:t>
      </w:r>
      <w:proofErr w:type="spellEnd"/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РФ, в котором был блок, касающийся института </w:t>
      </w:r>
      <w:proofErr w:type="spellStart"/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ГАПов</w:t>
      </w:r>
      <w:proofErr w:type="spellEnd"/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и </w:t>
      </w:r>
      <w:proofErr w:type="spellStart"/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ГИПов</w:t>
      </w:r>
      <w:proofErr w:type="spellEnd"/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. </w:t>
      </w:r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</w:r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  <w:t xml:space="preserve">     Как подчеркнул </w:t>
      </w:r>
      <w:r w:rsidR="00DC5890" w:rsidRPr="005560A0">
        <w:rPr>
          <w:rFonts w:ascii="Trebuchet MS" w:eastAsia="Times New Roman" w:hAnsi="Trebuchet MS" w:cs="Times New Roman"/>
          <w:b/>
          <w:color w:val="000000"/>
          <w:sz w:val="19"/>
          <w:szCs w:val="19"/>
          <w:lang w:eastAsia="ru-RU"/>
        </w:rPr>
        <w:t xml:space="preserve">Сергей </w:t>
      </w:r>
      <w:proofErr w:type="spellStart"/>
      <w:r w:rsidR="00DC5890" w:rsidRPr="005560A0">
        <w:rPr>
          <w:rFonts w:ascii="Trebuchet MS" w:eastAsia="Times New Roman" w:hAnsi="Trebuchet MS" w:cs="Times New Roman"/>
          <w:b/>
          <w:color w:val="000000"/>
          <w:sz w:val="19"/>
          <w:szCs w:val="19"/>
          <w:lang w:eastAsia="ru-RU"/>
        </w:rPr>
        <w:t>Ильяев</w:t>
      </w:r>
      <w:proofErr w:type="spellEnd"/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, проектное сообщество в лице Национального объединения проектировщиков при обсуждении этого вопроса все-таки предложило исключить указанную тему из законопроекта. При этом было обращено внимание на то, что регулирования деятельности </w:t>
      </w:r>
      <w:proofErr w:type="spellStart"/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ГАПов</w:t>
      </w:r>
      <w:proofErr w:type="spellEnd"/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ГИПов</w:t>
      </w:r>
      <w:proofErr w:type="spellEnd"/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должно осуществляться на уровне нормативов технического регулирования, т.е. на уровне СНИП или Сводов правил. </w:t>
      </w:r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</w:r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  <w:t xml:space="preserve">     Оценивая представленный ключевым докладчиком проект </w:t>
      </w:r>
      <w:proofErr w:type="spellStart"/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профстандарта</w:t>
      </w:r>
      <w:proofErr w:type="spellEnd"/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, </w:t>
      </w:r>
      <w:r w:rsidR="00DC5890" w:rsidRPr="005560A0">
        <w:rPr>
          <w:rFonts w:ascii="Trebuchet MS" w:eastAsia="Times New Roman" w:hAnsi="Trebuchet MS" w:cs="Times New Roman"/>
          <w:b/>
          <w:color w:val="000000"/>
          <w:sz w:val="19"/>
          <w:szCs w:val="19"/>
          <w:lang w:eastAsia="ru-RU"/>
        </w:rPr>
        <w:t xml:space="preserve">С. </w:t>
      </w:r>
      <w:proofErr w:type="spellStart"/>
      <w:r w:rsidR="00DC5890" w:rsidRPr="005560A0">
        <w:rPr>
          <w:rFonts w:ascii="Trebuchet MS" w:eastAsia="Times New Roman" w:hAnsi="Trebuchet MS" w:cs="Times New Roman"/>
          <w:b/>
          <w:color w:val="000000"/>
          <w:sz w:val="19"/>
          <w:szCs w:val="19"/>
          <w:lang w:eastAsia="ru-RU"/>
        </w:rPr>
        <w:t>Ильяев</w:t>
      </w:r>
      <w:proofErr w:type="spellEnd"/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указал, что предложенный документ предлагает иной (нежели прежде) вектор регулирования деятельности </w:t>
      </w:r>
      <w:proofErr w:type="spellStart"/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ГАПов</w:t>
      </w:r>
      <w:proofErr w:type="spellEnd"/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ГИПов</w:t>
      </w:r>
      <w:proofErr w:type="spellEnd"/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. Но, подчеркнул председатель Комитета по методологии регулирования проектной деятельности НОП, «непонятно, как указанный стандарт будет встроен в государственную систему стандартизации России». </w:t>
      </w:r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  <w:t>И, кстати говоря</w:t>
      </w:r>
      <w:r w:rsidR="00DC5890" w:rsidRPr="005560A0">
        <w:rPr>
          <w:rFonts w:ascii="Trebuchet MS" w:eastAsia="Times New Roman" w:hAnsi="Trebuchet MS" w:cs="Times New Roman"/>
          <w:b/>
          <w:color w:val="000000"/>
          <w:sz w:val="19"/>
          <w:szCs w:val="19"/>
          <w:lang w:eastAsia="ru-RU"/>
        </w:rPr>
        <w:t xml:space="preserve">, С. </w:t>
      </w:r>
      <w:proofErr w:type="spellStart"/>
      <w:r w:rsidR="00DC5890" w:rsidRPr="005560A0">
        <w:rPr>
          <w:rFonts w:ascii="Trebuchet MS" w:eastAsia="Times New Roman" w:hAnsi="Trebuchet MS" w:cs="Times New Roman"/>
          <w:b/>
          <w:color w:val="000000"/>
          <w:sz w:val="19"/>
          <w:szCs w:val="19"/>
          <w:lang w:eastAsia="ru-RU"/>
        </w:rPr>
        <w:t>Ильяев</w:t>
      </w:r>
      <w:proofErr w:type="spellEnd"/>
      <w:r w:rsidR="00DC5890">
        <w:rPr>
          <w:rFonts w:ascii="Trebuchet MS" w:eastAsia="Times New Roman" w:hAnsi="Trebuchet MS" w:cs="Times New Roman"/>
          <w:b/>
          <w:color w:val="000000"/>
          <w:sz w:val="19"/>
          <w:szCs w:val="19"/>
          <w:lang w:eastAsia="ru-RU"/>
        </w:rPr>
        <w:t xml:space="preserve"> </w:t>
      </w:r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также</w:t>
      </w:r>
      <w:r w:rsidR="00DC5890">
        <w:rPr>
          <w:rFonts w:ascii="Trebuchet MS" w:eastAsia="Times New Roman" w:hAnsi="Trebuchet MS" w:cs="Times New Roman"/>
          <w:b/>
          <w:color w:val="000000"/>
          <w:sz w:val="19"/>
          <w:szCs w:val="19"/>
          <w:lang w:eastAsia="ru-RU"/>
        </w:rPr>
        <w:t xml:space="preserve"> </w:t>
      </w:r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отметил, что не считает необходимым в стандарте разделение на 6-й и 7-й уровни компетентности</w:t>
      </w:r>
      <w:r w:rsidR="00DC589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="00DC589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ГИПов</w:t>
      </w:r>
      <w:proofErr w:type="spellEnd"/>
      <w:r w:rsidR="00DC589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и </w:t>
      </w:r>
      <w:proofErr w:type="spellStart"/>
      <w:r w:rsidR="00DC589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ГАПов</w:t>
      </w:r>
      <w:proofErr w:type="spellEnd"/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.</w:t>
      </w:r>
      <w:r w:rsidR="00DC5890"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</w:r>
    </w:p>
    <w:p w:rsidR="005560A0" w:rsidRPr="005560A0" w:rsidRDefault="005560A0" w:rsidP="005560A0">
      <w:pPr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lastRenderedPageBreak/>
        <w:t xml:space="preserve">     </w:t>
      </w:r>
      <w:r w:rsidRPr="005560A0">
        <w:rPr>
          <w:rFonts w:ascii="Trebuchet MS" w:eastAsia="Times New Roman" w:hAnsi="Trebuchet MS" w:cs="Times New Roman"/>
          <w:noProof/>
          <w:color w:val="000000"/>
          <w:sz w:val="19"/>
          <w:szCs w:val="19"/>
          <w:lang w:eastAsia="ru-RU"/>
        </w:rPr>
        <w:drawing>
          <wp:anchor distT="47625" distB="47625" distL="95250" distR="95250" simplePos="0" relativeHeight="251663360" behindDoc="0" locked="0" layoutInCell="1" allowOverlap="0" wp14:anchorId="60471778" wp14:editId="225C447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505075"/>
            <wp:effectExtent l="0" t="0" r="0" b="9525"/>
            <wp:wrapSquare wrapText="bothSides"/>
            <wp:docPr id="5" name="Рисунок 5" descr="20120126_08_3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120126_08_397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По завершении  основной </w:t>
      </w:r>
      <w:proofErr w:type="gramStart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дискуссии</w:t>
      </w:r>
      <w:proofErr w:type="gram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собравшиеся в целом одобрили проект стандарта и сошлись во мнении, что разработчикам </w:t>
      </w:r>
      <w:proofErr w:type="spellStart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профстандарта</w:t>
      </w:r>
      <w:proofErr w:type="spell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совместно с Союзом проектировщиков России необходимо продолжить работу по совершенствованию стилистики. В то же время и докладчик, и некоторые из участников поддержали </w:t>
      </w:r>
      <w:r w:rsidRPr="005560A0">
        <w:rPr>
          <w:rFonts w:ascii="Trebuchet MS" w:eastAsia="Times New Roman" w:hAnsi="Trebuchet MS" w:cs="Times New Roman"/>
          <w:b/>
          <w:color w:val="000000"/>
          <w:sz w:val="19"/>
          <w:szCs w:val="19"/>
          <w:lang w:eastAsia="ru-RU"/>
        </w:rPr>
        <w:t xml:space="preserve">С. </w:t>
      </w:r>
      <w:proofErr w:type="spellStart"/>
      <w:r w:rsidRPr="005560A0">
        <w:rPr>
          <w:rFonts w:ascii="Trebuchet MS" w:eastAsia="Times New Roman" w:hAnsi="Trebuchet MS" w:cs="Times New Roman"/>
          <w:b/>
          <w:color w:val="000000"/>
          <w:sz w:val="19"/>
          <w:szCs w:val="19"/>
          <w:lang w:eastAsia="ru-RU"/>
        </w:rPr>
        <w:t>Ильяева</w:t>
      </w:r>
      <w:proofErr w:type="spell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, полагая необходимым при доработке проекта стандарта продумать и способ употребления данного стандарта. Ожидается, что обсуждение этого и ряда других вопросов может пройти на уровне комитетов по науке, образованию и аттестации, с одной стороны, и Комитета по методологии регулирования проектной деятельности, а также Комитета по техническому регулированию и стандартизации НОП. </w:t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  <w:t xml:space="preserve">     В завершение дискуссии ее модератор </w:t>
      </w:r>
      <w:r w:rsidRPr="005560A0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ru-RU"/>
        </w:rPr>
        <w:t>Виктор Новоселов</w:t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высказал мнение, что прошедшее обсуждение оказалось насыщенным и достаточно плодотворным. По итогам работы секции  решено принять резолюцию, с проектом которой были ознакомлены участники дискуссии. После уточнения ряда процедурных вопросов было решено: резолюцию доработать с учетом высказанных предложений и замечаний. А в их числе было и предложение о воссоздании в новом составе Правительства России (т.е. после выборов президента) федерального отраслевого органа в виде министерства архитектуры, строительства и промышленности строительных материалов. </w:t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</w:r>
    </w:p>
    <w:p w:rsidR="005560A0" w:rsidRPr="005560A0" w:rsidRDefault="005560A0" w:rsidP="005560A0">
      <w:pPr>
        <w:spacing w:after="100" w:line="240" w:lineRule="auto"/>
        <w:jc w:val="right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5560A0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ru-RU"/>
        </w:rPr>
        <w:t xml:space="preserve">Валентин </w:t>
      </w:r>
      <w:proofErr w:type="spellStart"/>
      <w:r w:rsidRPr="005560A0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ru-RU"/>
        </w:rPr>
        <w:t>Елисеенко</w:t>
      </w:r>
      <w:proofErr w:type="spellEnd"/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</w:t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br/>
      </w:r>
      <w:r w:rsidRPr="005560A0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ru-RU"/>
        </w:rPr>
        <w:t>(Пресс-служба НОП)</w:t>
      </w:r>
      <w:r w:rsidRPr="005560A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</w:t>
      </w:r>
    </w:p>
    <w:p w:rsidR="005560A0" w:rsidRPr="005560A0" w:rsidRDefault="005560A0" w:rsidP="005560A0">
      <w:pPr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</w:p>
    <w:p w:rsidR="00003712" w:rsidRDefault="00003712"/>
    <w:sectPr w:rsidR="0000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A0"/>
    <w:rsid w:val="00003712"/>
    <w:rsid w:val="005560A0"/>
    <w:rsid w:val="00DC5890"/>
    <w:rsid w:val="00F8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9381">
              <w:marLeft w:val="30"/>
              <w:marRight w:val="3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75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1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06691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s.ilyaev</dc:creator>
  <cp:lastModifiedBy>Слава</cp:lastModifiedBy>
  <cp:revision>2</cp:revision>
  <dcterms:created xsi:type="dcterms:W3CDTF">2012-02-02T07:54:00Z</dcterms:created>
  <dcterms:modified xsi:type="dcterms:W3CDTF">2012-02-02T07:54:00Z</dcterms:modified>
</cp:coreProperties>
</file>